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4530"/>
        <w:gridCol w:w="4545"/>
      </w:tblGrid>
      <w:tr w:rsidR="00406C64" w:rsidRPr="007E499E" w:rsidTr="00406C64">
        <w:trPr>
          <w:gridAfter w:val="1"/>
          <w:tblCellSpacing w:w="15" w:type="dxa"/>
        </w:trPr>
        <w:tc>
          <w:tcPr>
            <w:tcW w:w="51" w:type="dxa"/>
            <w:gridSpan w:val="2"/>
            <w:vAlign w:val="center"/>
            <w:hideMark/>
          </w:tcPr>
          <w:p w:rsidR="00406C64" w:rsidRPr="007E499E" w:rsidRDefault="00406C64" w:rsidP="007E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406C64" w:rsidRPr="00406C64" w:rsidTr="00406C64">
        <w:trPr>
          <w:tblCellSpacing w:w="15" w:type="dxa"/>
        </w:trPr>
        <w:tc>
          <w:tcPr>
            <w:tcW w:w="42" w:type="dxa"/>
            <w:vAlign w:val="center"/>
            <w:hideMark/>
          </w:tcPr>
          <w:p w:rsidR="00406C64" w:rsidRPr="00406C64" w:rsidRDefault="00406C64" w:rsidP="0040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06C64" w:rsidRPr="00406C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C64" w:rsidRPr="00406C64" w:rsidRDefault="00406C64" w:rsidP="00406C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de-DE"/>
                    </w:rPr>
                  </w:pPr>
                  <w:r w:rsidRPr="00406C64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24"/>
                      <w:szCs w:val="24"/>
                      <w:lang w:eastAsia="de-DE"/>
                    </w:rPr>
                    <w:t>Altersgruppe der 10-16-jährigen Kinder und Jugendlichen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9"/>
                    <w:gridCol w:w="270"/>
                    <w:gridCol w:w="7241"/>
                  </w:tblGrid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Zielgruppe: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Kinder und Jugendliche im Alter von 10-16 Jahren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Ziele: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 wp14:anchorId="5AE0827D" wp14:editId="71FAE38D">
                              <wp:extent cx="123825" cy="104775"/>
                              <wp:effectExtent l="0" t="0" r="9525" b="9525"/>
                              <wp:docPr id="6" name="Bild 6" descr="http://www.lagz-bw.de/lagz/2.Arbgem/Tuttlingen/bilder/minipf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lagz-bw.de/lagz/2.Arbgem/Tuttlingen/bilder/minipfe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Stabilisierung des Gebisszustandes in der Pubertät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 wp14:anchorId="40F898E0" wp14:editId="1C0D9E92">
                              <wp:extent cx="123825" cy="104775"/>
                              <wp:effectExtent l="0" t="0" r="9525" b="9525"/>
                              <wp:docPr id="7" name="Bild 7" descr="http://www.lagz-bw.de/lagz/2.Arbgem/Tuttlingen/bilder/minipf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lagz-bw.de/lagz/2.Arbgem/Tuttlingen/bilder/minipfe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Vermittlung von naturwissenschaftlichem Hintergrundwissen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 wp14:anchorId="51890EAB" wp14:editId="1204A8D7">
                              <wp:extent cx="123825" cy="104775"/>
                              <wp:effectExtent l="0" t="0" r="9525" b="9525"/>
                              <wp:docPr id="8" name="Bild 8" descr="http://www.lagz-bw.de/lagz/2.Arbgem/Tuttlingen/bilder/minipf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lagz-bw.de/lagz/2.Arbgem/Tuttlingen/bilder/minipfe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 xml:space="preserve">Früherkennung von Zahnschäden 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de-DE"/>
                          </w:rPr>
                          <w:drawing>
                            <wp:inline distT="0" distB="0" distL="0" distR="0" wp14:anchorId="57CDF71A" wp14:editId="138D86BA">
                              <wp:extent cx="123825" cy="104775"/>
                              <wp:effectExtent l="0" t="0" r="9525" b="9525"/>
                              <wp:docPr id="9" name="Bild 9" descr="http://www.lagz-bw.de/lagz/2.Arbgem/Tuttlingen/bilder/minipfei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lagz-bw.de/lagz/2.Arbgem/Tuttlingen/bilder/minipfei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Fluoridierungsmaßnahmen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Strategie: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Im weiterführenden Schulbereich besteht eine Korrelation zwischen dem Kariesbefall und dem Schultyp. Kinder in Haupt- und Förderschulen haben 3mal soviel Karies wie Kinder in Realschulen und Gymnasien. Die Maßnahmen konzentrieren sich daher primär auf den Haupt- und Förderschulbereich. Hier sollen die erzielten Verbesserungen der Zahngesundheit in der kritischen Zeit der Pubertät stabilisiert und erhalten werden.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Programm: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de-DE"/>
                          </w:rPr>
                          <w:t>1. Prophylaxebesuch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- 1x/Jahr in Hauptschulen, 2x/Jahr in Förderschulen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Vermittlung naturwissenschaftlicher Hintergründe zur Kariesprävention in einem für die Jugendlichen interessanten Kontext (z. Bsp. körperliche Attraktivität und Zahngesundheit)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Anleitung zu erweiterten Mundhygienemaßnahmen (z. Bsp. Zahnseide)</w:t>
                        </w:r>
                      </w:p>
                      <w:p w:rsidR="00406C64" w:rsidRPr="00406C64" w:rsidRDefault="00406C64" w:rsidP="00406C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de-DE"/>
                          </w:rPr>
                          <w:t>2. zahnärztliche Früherkennungsuntersuchungen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- 1x/Jahr in Förderschulen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über das Ergebnis der Untersuchung werden die Eltern schriftlich informiert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Verweisung besonders kariesaktiver Kinder zur Individualprophylaxe an den Hauszahnarzt</w:t>
                        </w:r>
                      </w:p>
                      <w:p w:rsidR="00406C64" w:rsidRPr="00406C64" w:rsidRDefault="00406C64" w:rsidP="00406C6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de-DE"/>
                          </w:rPr>
                          <w:t xml:space="preserve">3. </w:t>
                        </w:r>
                        <w:r w:rsidR="004A2462" w:rsidRPr="00406C6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de-DE"/>
                          </w:rPr>
                          <w:t>Fluoridierung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- 1x/Jahr in Kombination mit den zahnärztlichen Untersuchungen in Förder-schulen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 in 3 Förderschulen durch 14-tägiges Einbürsten eines Fluorid-Gelees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Ort: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Haupt- und Förderschulen im Landkreis Tuttlingen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Ausführende: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- Prophylaxefachkräfte der AG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 Zahnarzt des Kreisgesundheitsamtes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 niedergelassene Zahnärzte</w:t>
                        </w: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  <w:t>- ehrenamtliche Eltern und Lehrer (Fluorid-Einbürstungen)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406C64" w:rsidRPr="00406C6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de-DE"/>
                          </w:rPr>
                          <w:t>Termine: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6C64" w:rsidRPr="00406C64" w:rsidRDefault="00406C64" w:rsidP="00406C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406C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  <w:t>Die Eltern werden schriftlich über den Untersuchungs- und Fluoridierungstermin informiert. Für die Fluoridierung wird vorab dass schriftliche Einverständnis der Eltern eingeholt.</w:t>
                        </w:r>
                      </w:p>
                    </w:tc>
                  </w:tr>
                </w:tbl>
                <w:p w:rsidR="00406C64" w:rsidRPr="00406C64" w:rsidRDefault="00406C64" w:rsidP="00406C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406C64" w:rsidRPr="00406C64" w:rsidRDefault="00406C64" w:rsidP="0040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7E499E" w:rsidRPr="00406C64" w:rsidRDefault="007E499E">
      <w:pPr>
        <w:rPr>
          <w:color w:val="002060"/>
        </w:rPr>
      </w:pPr>
    </w:p>
    <w:sectPr w:rsidR="007E499E" w:rsidRPr="00406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9E"/>
    <w:rsid w:val="00406C64"/>
    <w:rsid w:val="004A2462"/>
    <w:rsid w:val="007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Tuttlingen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Braun,Aleksia</dc:creator>
  <cp:lastModifiedBy>Braun,Aleksia</cp:lastModifiedBy>
  <cp:revision>2</cp:revision>
  <cp:lastPrinted>2017-12-12T09:30:00Z</cp:lastPrinted>
  <dcterms:created xsi:type="dcterms:W3CDTF">2017-12-12T09:30:00Z</dcterms:created>
  <dcterms:modified xsi:type="dcterms:W3CDTF">2017-12-12T10:48:00Z</dcterms:modified>
</cp:coreProperties>
</file>